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696339"/>
        <w:docPartObj>
          <w:docPartGallery w:val="Cover Pages"/>
          <w:docPartUnique/>
        </w:docPartObj>
      </w:sdtPr>
      <w:sdtContent>
        <w:p w:rsidR="009D40DD" w:rsidRDefault="00AE3674">
          <w:r>
            <w:rPr>
              <w:noProof/>
              <w:lang w:eastAsia="zh-TW"/>
            </w:rPr>
            <w:pict>
              <v:shapetype id="_x0000_t202" coordsize="21600,21600" o:spt="202" path="m,l,21600r21600,l21600,xe">
                <v:stroke joinstyle="miter"/>
                <v:path gradientshapeok="t" o:connecttype="rect"/>
              </v:shapetype>
              <v:shape id="_x0000_s1034" type="#_x0000_t202" style="position:absolute;margin-left:294.3pt;margin-top:-8.35pt;width:231pt;height:69.45pt;z-index:251660288;mso-position-horizontal-relative:text;mso-position-vertical-relative:text;mso-width-relative:margin;mso-height-relative:margin">
                <v:textbox style="mso-next-textbox:#_x0000_s1034">
                  <w:txbxContent>
                    <w:p w:rsidR="0011312A" w:rsidRDefault="0011312A" w:rsidP="0050156D">
                      <w:r w:rsidRPr="00C4493A">
                        <w:t>"</w:t>
                      </w:r>
                      <w:r>
                        <w:t>Stand up for what you believe in, even if you are standing alone</w:t>
                      </w:r>
                      <w:r w:rsidRPr="00C4493A">
                        <w:t xml:space="preserve">." </w:t>
                      </w:r>
                      <w:r>
                        <w:t xml:space="preserve"> </w:t>
                      </w:r>
                    </w:p>
                    <w:p w:rsidR="0011312A" w:rsidRDefault="0011312A" w:rsidP="00AE60A1">
                      <w:pPr>
                        <w:jc w:val="right"/>
                      </w:pPr>
                      <w:r>
                        <w:t>-Sophie Scholl</w:t>
                      </w:r>
                    </w:p>
                    <w:p w:rsidR="0011312A" w:rsidRDefault="0011312A" w:rsidP="0050156D"/>
                    <w:p w:rsidR="0011312A" w:rsidRPr="0050156D" w:rsidRDefault="0011312A" w:rsidP="0050156D"/>
                  </w:txbxContent>
                </v:textbox>
              </v:shape>
            </w:pict>
          </w:r>
          <w:r w:rsidR="009D40DD">
            <w:t xml:space="preserve"> </w:t>
          </w:r>
        </w:p>
        <w:p w:rsidR="000B64B2" w:rsidRDefault="00AE3674">
          <w:r>
            <w:rPr>
              <w:noProof/>
              <w:lang w:eastAsia="zh-TW"/>
            </w:rPr>
            <w:pict>
              <v:shape id="_x0000_s1036" type="#_x0000_t202" style="position:absolute;margin-left:308.4pt;margin-top:142pt;width:185.3pt;height:149.8pt;z-index:251662336;mso-width-percent:400;mso-position-horizontal-relative:text;mso-position-vertical-relative:text;mso-width-percent:400;mso-width-relative:margin;mso-height-relative:margin">
                <v:textbox style="mso-next-textbox:#_x0000_s1036">
                  <w:txbxContent>
                    <w:p w:rsidR="0011312A" w:rsidRDefault="0011312A">
                      <w:r>
                        <w:t>“Remember in your life there will be lots of circumstances that will need a kind of courage, a kind of decision of your own, not about other people but about yourself”</w:t>
                      </w:r>
                    </w:p>
                    <w:p w:rsidR="0011312A" w:rsidRDefault="0011312A"/>
                    <w:p w:rsidR="0011312A" w:rsidRDefault="0011312A" w:rsidP="00435E8F">
                      <w:pPr>
                        <w:jc w:val="right"/>
                      </w:pPr>
                      <w:r>
                        <w:t>-Magda Trocme from Le Chambon sur-Lignon</w:t>
                      </w:r>
                    </w:p>
                  </w:txbxContent>
                </v:textbox>
              </v:shape>
            </w:pict>
          </w:r>
        </w:p>
        <w:p w:rsidR="00435E8F" w:rsidRDefault="00435E8F">
          <w:r>
            <w:rPr>
              <w:noProof/>
            </w:rPr>
            <w:drawing>
              <wp:inline distT="0" distB="0" distL="0" distR="0">
                <wp:extent cx="2794000" cy="3695700"/>
                <wp:effectExtent l="19050" t="0" r="6350" b="0"/>
                <wp:docPr id="4" name="Picture 1" descr="Hannah Sen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ah Senesh.jpg"/>
                        <pic:cNvPicPr/>
                      </pic:nvPicPr>
                      <pic:blipFill>
                        <a:blip r:embed="rId8" cstate="print"/>
                        <a:stretch>
                          <a:fillRect/>
                        </a:stretch>
                      </pic:blipFill>
                      <pic:spPr>
                        <a:xfrm>
                          <a:off x="0" y="0"/>
                          <a:ext cx="2794000" cy="3695700"/>
                        </a:xfrm>
                        <a:prstGeom prst="rect">
                          <a:avLst/>
                        </a:prstGeom>
                      </pic:spPr>
                    </pic:pic>
                  </a:graphicData>
                </a:graphic>
              </wp:inline>
            </w:drawing>
          </w:r>
        </w:p>
        <w:p w:rsidR="00435E8F" w:rsidRDefault="00435E8F"/>
        <w:p w:rsidR="00435E8F" w:rsidRDefault="00435E8F"/>
        <w:p w:rsidR="00634F88" w:rsidRDefault="002E00EA">
          <w:r>
            <w:t>(Hannah Senesh photographed during her paratrooper training)</w:t>
          </w:r>
        </w:p>
        <w:p w:rsidR="00435E8F" w:rsidRDefault="00435E8F" w:rsidP="00634F88">
          <w:pPr>
            <w:jc w:val="center"/>
            <w:rPr>
              <w:sz w:val="28"/>
              <w:szCs w:val="28"/>
            </w:rPr>
          </w:pPr>
        </w:p>
        <w:p w:rsidR="00435E8F" w:rsidRDefault="00435E8F" w:rsidP="00634F88">
          <w:pPr>
            <w:jc w:val="center"/>
            <w:rPr>
              <w:sz w:val="28"/>
              <w:szCs w:val="28"/>
            </w:rPr>
          </w:pPr>
        </w:p>
        <w:p w:rsidR="00435E8F" w:rsidRDefault="00435E8F" w:rsidP="00634F88">
          <w:pPr>
            <w:jc w:val="center"/>
            <w:rPr>
              <w:sz w:val="28"/>
              <w:szCs w:val="28"/>
            </w:rPr>
          </w:pPr>
        </w:p>
        <w:p w:rsidR="009D40DD" w:rsidRPr="002E00EA" w:rsidRDefault="002E00EA" w:rsidP="00634F88">
          <w:pPr>
            <w:jc w:val="center"/>
            <w:rPr>
              <w:sz w:val="28"/>
              <w:szCs w:val="28"/>
            </w:rPr>
          </w:pPr>
          <w:r w:rsidRPr="002E00EA">
            <w:rPr>
              <w:sz w:val="28"/>
              <w:szCs w:val="28"/>
            </w:rPr>
            <w:t>Girl Power! How Young Women Impacted the Holocaust</w:t>
          </w:r>
        </w:p>
        <w:p w:rsidR="009D40DD" w:rsidRPr="002E00EA" w:rsidRDefault="009D40DD">
          <w:pPr>
            <w:rPr>
              <w:sz w:val="28"/>
              <w:szCs w:val="28"/>
            </w:rPr>
          </w:pPr>
        </w:p>
        <w:p w:rsidR="00DD4810" w:rsidRDefault="00DD4810"/>
        <w:p w:rsidR="00DD4810" w:rsidRDefault="00DD4810">
          <w:r>
            <w:br w:type="page"/>
          </w:r>
        </w:p>
      </w:sdtContent>
    </w:sdt>
    <w:p w:rsidR="00C31036" w:rsidRPr="00C31036" w:rsidRDefault="00C20882" w:rsidP="002D51B1">
      <w:pPr>
        <w:jc w:val="center"/>
        <w:rPr>
          <w:u w:val="single"/>
        </w:rPr>
      </w:pPr>
      <w:r w:rsidRPr="00C31036">
        <w:rPr>
          <w:u w:val="single"/>
        </w:rPr>
        <w:lastRenderedPageBreak/>
        <w:t>Rationale:</w:t>
      </w:r>
    </w:p>
    <w:p w:rsidR="00C20882" w:rsidRDefault="001D5F54">
      <w:r>
        <w:t xml:space="preserve">The purpose of this lesson is to provide students with historical examples of </w:t>
      </w:r>
      <w:r w:rsidR="00435E8F">
        <w:t xml:space="preserve">women </w:t>
      </w:r>
      <w:r w:rsidR="00A75525">
        <w:t xml:space="preserve">and </w:t>
      </w:r>
      <w:r w:rsidR="00435E8F">
        <w:t>the role they played during the Holocaust</w:t>
      </w:r>
      <w:r w:rsidR="00A75525">
        <w:t>.</w:t>
      </w:r>
      <w:r w:rsidR="00435E8F">
        <w:t xml:space="preserve"> </w:t>
      </w:r>
      <w:r w:rsidR="00A75525">
        <w:t xml:space="preserve">The lesson provides an opportunity for students to </w:t>
      </w:r>
      <w:r w:rsidR="00435E8F">
        <w:t>learn about 12 lesser known heroines from the Holocaust, to see that they acted independently and selflessly, and came from different countries with different religious backgrounds.</w:t>
      </w:r>
    </w:p>
    <w:p w:rsidR="00C20882" w:rsidRPr="00C31036" w:rsidRDefault="00C20882" w:rsidP="002D51B1">
      <w:pPr>
        <w:jc w:val="center"/>
        <w:rPr>
          <w:u w:val="single"/>
        </w:rPr>
      </w:pPr>
      <w:r w:rsidRPr="00C31036">
        <w:rPr>
          <w:u w:val="single"/>
        </w:rPr>
        <w:t>Objectives:</w:t>
      </w:r>
    </w:p>
    <w:p w:rsidR="001D5F54" w:rsidRDefault="00F775BD" w:rsidP="001D5F54">
      <w:pPr>
        <w:pStyle w:val="ListParagraph"/>
        <w:numPr>
          <w:ilvl w:val="0"/>
          <w:numId w:val="1"/>
        </w:numPr>
      </w:pPr>
      <w:r>
        <w:t xml:space="preserve">Students will see </w:t>
      </w:r>
      <w:r w:rsidR="00245316">
        <w:t xml:space="preserve">how </w:t>
      </w:r>
      <w:r w:rsidR="00435E8F">
        <w:t>women</w:t>
      </w:r>
      <w:r>
        <w:t xml:space="preserve"> from </w:t>
      </w:r>
      <w:r w:rsidR="00A75525">
        <w:t>diverse</w:t>
      </w:r>
      <w:r>
        <w:t xml:space="preserve"> </w:t>
      </w:r>
      <w:r w:rsidR="00435E8F">
        <w:t xml:space="preserve">countries, </w:t>
      </w:r>
      <w:r w:rsidR="00006E2B">
        <w:t xml:space="preserve">religious </w:t>
      </w:r>
      <w:r>
        <w:t xml:space="preserve">backgrounds, </w:t>
      </w:r>
      <w:r w:rsidR="00EC5EEE">
        <w:t>and bearing different personal situations wo</w:t>
      </w:r>
      <w:r w:rsidR="00A75525">
        <w:t xml:space="preserve">rked to save </w:t>
      </w:r>
      <w:r w:rsidR="00EC5EEE">
        <w:t xml:space="preserve">others </w:t>
      </w:r>
      <w:r w:rsidR="00A75525">
        <w:t xml:space="preserve"> from the Nazis</w:t>
      </w:r>
    </w:p>
    <w:p w:rsidR="00F775BD" w:rsidRDefault="00F775BD" w:rsidP="001D5F54">
      <w:pPr>
        <w:pStyle w:val="ListParagraph"/>
        <w:numPr>
          <w:ilvl w:val="0"/>
          <w:numId w:val="1"/>
        </w:numPr>
      </w:pPr>
      <w:r>
        <w:t xml:space="preserve">Students will learn that people sometimes act </w:t>
      </w:r>
      <w:r w:rsidRPr="006423EF">
        <w:rPr>
          <w:i/>
        </w:rPr>
        <w:t>selflessly</w:t>
      </w:r>
      <w:r>
        <w:t xml:space="preserve"> in the best interest of others and not to be rewarded</w:t>
      </w:r>
      <w:r w:rsidR="0064637A">
        <w:t xml:space="preserve">. </w:t>
      </w:r>
    </w:p>
    <w:p w:rsidR="00A75525" w:rsidRDefault="00A75525" w:rsidP="001D5F54">
      <w:pPr>
        <w:pStyle w:val="ListParagraph"/>
        <w:numPr>
          <w:ilvl w:val="0"/>
          <w:numId w:val="1"/>
        </w:numPr>
      </w:pPr>
      <w:r>
        <w:t xml:space="preserve">Students will examine </w:t>
      </w:r>
      <w:r w:rsidR="00245316">
        <w:t>the motivations of</w:t>
      </w:r>
      <w:r w:rsidR="0064637A">
        <w:t xml:space="preserve"> non-Jews, both religious and irreligious, </w:t>
      </w:r>
      <w:r w:rsidR="00245316">
        <w:t>who</w:t>
      </w:r>
      <w:r>
        <w:t xml:space="preserve"> risk</w:t>
      </w:r>
      <w:r w:rsidR="00245316">
        <w:t xml:space="preserve">ed </w:t>
      </w:r>
      <w:r>
        <w:t xml:space="preserve"> their own lives to save others</w:t>
      </w:r>
    </w:p>
    <w:p w:rsidR="00C20882" w:rsidRDefault="00AF5B20" w:rsidP="00385D18">
      <w:pPr>
        <w:pStyle w:val="ListParagraph"/>
        <w:numPr>
          <w:ilvl w:val="0"/>
          <w:numId w:val="1"/>
        </w:numPr>
      </w:pPr>
      <w:r>
        <w:t xml:space="preserve">Students will apply </w:t>
      </w:r>
      <w:r w:rsidR="006664A8">
        <w:t>situational</w:t>
      </w:r>
      <w:r>
        <w:t xml:space="preserve">-based lessons; to act or not when others are being targeted and treated unfairly </w:t>
      </w:r>
    </w:p>
    <w:p w:rsidR="00C20882" w:rsidRPr="00C31036" w:rsidRDefault="00C20882" w:rsidP="002D51B1">
      <w:pPr>
        <w:jc w:val="center"/>
        <w:rPr>
          <w:u w:val="single"/>
        </w:rPr>
      </w:pPr>
      <w:r w:rsidRPr="00C31036">
        <w:rPr>
          <w:u w:val="single"/>
        </w:rPr>
        <w:t>Requirements:</w:t>
      </w:r>
    </w:p>
    <w:p w:rsidR="00C20882" w:rsidRDefault="00EC5EEE">
      <w:r>
        <w:t>Girl Power! How Young Women Impacted the Holocaust PowerPoint</w:t>
      </w:r>
    </w:p>
    <w:p w:rsidR="00EC5EEE" w:rsidRDefault="00EC5EEE">
      <w:r>
        <w:t>Girl Power! How Young Women Impacted the Holocaust Museum panels or printed versions of same</w:t>
      </w:r>
    </w:p>
    <w:p w:rsidR="00EC5EEE" w:rsidRDefault="00EC5EEE">
      <w:r>
        <w:t>Access to iWitness to play two Survivor clips</w:t>
      </w:r>
    </w:p>
    <w:p w:rsidR="00C20882" w:rsidRPr="00C31036" w:rsidRDefault="00C20882" w:rsidP="002D51B1">
      <w:pPr>
        <w:jc w:val="center"/>
        <w:rPr>
          <w:u w:val="single"/>
        </w:rPr>
      </w:pPr>
      <w:r w:rsidRPr="00C31036">
        <w:rPr>
          <w:u w:val="single"/>
        </w:rPr>
        <w:t>Techniques and Skills:</w:t>
      </w:r>
    </w:p>
    <w:p w:rsidR="0093044C" w:rsidRDefault="0073410A">
      <w:r>
        <w:t>Group work, listening, analyzing, interpreting, defining terms, application of historical events</w:t>
      </w:r>
    </w:p>
    <w:p w:rsidR="00C31036" w:rsidRPr="0000236E" w:rsidRDefault="00C20882" w:rsidP="002D51B1">
      <w:pPr>
        <w:jc w:val="center"/>
        <w:rPr>
          <w:u w:val="single"/>
        </w:rPr>
      </w:pPr>
      <w:r w:rsidRPr="00C31036">
        <w:rPr>
          <w:u w:val="single"/>
        </w:rPr>
        <w:t>Key Words:</w:t>
      </w:r>
    </w:p>
    <w:p w:rsidR="00222E1F" w:rsidRDefault="00EC5EEE" w:rsidP="00EC5EEE">
      <w:pPr>
        <w:jc w:val="center"/>
        <w:rPr>
          <w:u w:val="single"/>
        </w:rPr>
      </w:pPr>
      <w:r>
        <w:t>Perpetrator</w:t>
      </w:r>
      <w:r>
        <w:tab/>
        <w:t>Victim</w:t>
      </w:r>
      <w:r>
        <w:tab/>
      </w:r>
      <w:r>
        <w:tab/>
        <w:t>Bystander</w:t>
      </w:r>
      <w:r>
        <w:tab/>
        <w:t>Upstander</w:t>
      </w:r>
    </w:p>
    <w:p w:rsidR="00EC5EEE" w:rsidRDefault="00C20882" w:rsidP="001C2512">
      <w:pPr>
        <w:jc w:val="center"/>
        <w:rPr>
          <w:u w:val="single"/>
        </w:rPr>
      </w:pPr>
      <w:r w:rsidRPr="00C31036">
        <w:rPr>
          <w:u w:val="single"/>
        </w:rPr>
        <w:t>Key Concepts</w:t>
      </w:r>
    </w:p>
    <w:p w:rsidR="00C20882" w:rsidRPr="00EC5EEE" w:rsidRDefault="00750641" w:rsidP="00EC5EEE">
      <w:pPr>
        <w:rPr>
          <w:u w:val="single"/>
        </w:rPr>
      </w:pPr>
      <w:r>
        <w:t xml:space="preserve">Identifying </w:t>
      </w:r>
      <w:r w:rsidR="00EC5EEE">
        <w:t xml:space="preserve">definition of key words and application to ‘real world’ </w:t>
      </w:r>
    </w:p>
    <w:p w:rsidR="00750641" w:rsidRDefault="00750641">
      <w:r>
        <w:t xml:space="preserve">Determining if one will help </w:t>
      </w:r>
      <w:r w:rsidR="00EC5EEE">
        <w:t xml:space="preserve">a victim, </w:t>
      </w:r>
      <w:r w:rsidR="00B02E0C">
        <w:t>recognize</w:t>
      </w:r>
      <w:r w:rsidR="00EC5EEE">
        <w:t xml:space="preserve"> a perpetrator, not help</w:t>
      </w:r>
      <w:r w:rsidR="00B02E0C">
        <w:t xml:space="preserve"> (B</w:t>
      </w:r>
      <w:r>
        <w:t xml:space="preserve">ystander) or </w:t>
      </w:r>
      <w:r w:rsidR="00EC5EEE">
        <w:t>get involved (Upstander)</w:t>
      </w:r>
    </w:p>
    <w:p w:rsidR="00750641" w:rsidRDefault="00750641">
      <w:r>
        <w:t>Understanding</w:t>
      </w:r>
      <w:r w:rsidR="001F599F">
        <w:t xml:space="preserve"> and questioning </w:t>
      </w:r>
      <w:r>
        <w:t>one’s motivation to assist others (selflessness)</w:t>
      </w:r>
    </w:p>
    <w:p w:rsidR="00C20882" w:rsidRDefault="00C20882" w:rsidP="000A1B4C">
      <w:pPr>
        <w:jc w:val="center"/>
        <w:rPr>
          <w:u w:val="single"/>
        </w:rPr>
      </w:pPr>
      <w:r w:rsidRPr="00C31036">
        <w:rPr>
          <w:u w:val="single"/>
        </w:rPr>
        <w:t>Lesson Procedures:</w:t>
      </w:r>
    </w:p>
    <w:p w:rsidR="00AC75C7" w:rsidRPr="00C31036" w:rsidRDefault="00AC75C7">
      <w:pPr>
        <w:rPr>
          <w:u w:val="single"/>
        </w:rPr>
      </w:pPr>
      <w:r>
        <w:rPr>
          <w:u w:val="single"/>
        </w:rPr>
        <w:t xml:space="preserve">Part I. </w:t>
      </w:r>
      <w:r w:rsidR="00385D18">
        <w:rPr>
          <w:u w:val="single"/>
        </w:rPr>
        <w:t>Set up</w:t>
      </w:r>
    </w:p>
    <w:p w:rsidR="006664A8" w:rsidRDefault="006664A8" w:rsidP="0032013E">
      <w:pPr>
        <w:pStyle w:val="ListParagraph"/>
        <w:numPr>
          <w:ilvl w:val="0"/>
          <w:numId w:val="2"/>
        </w:numPr>
      </w:pPr>
      <w:r>
        <w:t xml:space="preserve">Break students into groups of </w:t>
      </w:r>
      <w:r w:rsidR="001C0336">
        <w:t>2-4</w:t>
      </w:r>
    </w:p>
    <w:p w:rsidR="006664A8" w:rsidRDefault="006664A8" w:rsidP="0032013E">
      <w:pPr>
        <w:pStyle w:val="ListParagraph"/>
        <w:numPr>
          <w:ilvl w:val="0"/>
          <w:numId w:val="2"/>
        </w:numPr>
      </w:pPr>
      <w:r>
        <w:lastRenderedPageBreak/>
        <w:t xml:space="preserve">Assign </w:t>
      </w:r>
      <w:r w:rsidR="001F599F">
        <w:t xml:space="preserve">Girl Power! How Young Women Impacted the Holocaust double-sided worksheets </w:t>
      </w:r>
      <w:r>
        <w:t xml:space="preserve">to each group to </w:t>
      </w:r>
      <w:r w:rsidR="001F599F">
        <w:t>answer</w:t>
      </w:r>
    </w:p>
    <w:p w:rsidR="00C20882" w:rsidRDefault="00C46E3B" w:rsidP="0032013E">
      <w:pPr>
        <w:pStyle w:val="ListParagraph"/>
        <w:numPr>
          <w:ilvl w:val="0"/>
          <w:numId w:val="2"/>
        </w:numPr>
      </w:pPr>
      <w:r>
        <w:t>Discuss the keywords defining them and relating them to issues they may see at school</w:t>
      </w:r>
      <w:r w:rsidR="0011312A">
        <w:t xml:space="preserve"> using the Girl Power! How Young Women Impacted the Holocaust PowerPoint.</w:t>
      </w:r>
    </w:p>
    <w:p w:rsidR="0011312A" w:rsidRDefault="0011312A" w:rsidP="0032013E">
      <w:pPr>
        <w:pStyle w:val="ListParagraph"/>
        <w:numPr>
          <w:ilvl w:val="0"/>
          <w:numId w:val="2"/>
        </w:numPr>
      </w:pPr>
      <w:r>
        <w:t>Show first iWitness Survivor clip (Edith Reiss, 1:20 duration). Define difficult words/terms in video clip. Ask students to identify who the Perpetrator/s, Victim/s, Bystander/s, and Upstander/s was/were in the clip.</w:t>
      </w:r>
    </w:p>
    <w:p w:rsidR="007D5B11" w:rsidRDefault="0011312A" w:rsidP="007D5B11">
      <w:pPr>
        <w:pStyle w:val="ListParagraph"/>
        <w:numPr>
          <w:ilvl w:val="0"/>
          <w:numId w:val="2"/>
        </w:numPr>
      </w:pPr>
      <w:r>
        <w:t>Show second iWitness Survivor clip (Barbara F. Traub, 2:46)</w:t>
      </w:r>
      <w:r w:rsidR="007D5B11">
        <w:t>. Define difficult words/terms in video clip. Ask students to identify who the Perpetrator/s, Victim/s, Bystander/s, and Upstander/s was/were in the clip.</w:t>
      </w:r>
    </w:p>
    <w:p w:rsidR="0011312A" w:rsidRDefault="007D5B11" w:rsidP="0032013E">
      <w:pPr>
        <w:pStyle w:val="ListParagraph"/>
        <w:numPr>
          <w:ilvl w:val="0"/>
          <w:numId w:val="2"/>
        </w:numPr>
      </w:pPr>
      <w:r>
        <w:t>Explain activity to students by returning to Girl Power! How Young Women Impacted the Holocaust PowerPoint</w:t>
      </w:r>
    </w:p>
    <w:p w:rsidR="007D5B11" w:rsidRDefault="007D5B11" w:rsidP="0032013E">
      <w:pPr>
        <w:pStyle w:val="ListParagraph"/>
        <w:numPr>
          <w:ilvl w:val="0"/>
          <w:numId w:val="2"/>
        </w:numPr>
      </w:pPr>
      <w:r>
        <w:t>Hand out clip boards, pencils, and Girl Power! How Young Women Impacted the Holocaust double-sided worksheets</w:t>
      </w:r>
    </w:p>
    <w:p w:rsidR="0036479E" w:rsidRDefault="0036479E" w:rsidP="00201483">
      <w:pPr>
        <w:pStyle w:val="ListParagraph"/>
        <w:ind w:left="360"/>
      </w:pPr>
    </w:p>
    <w:p w:rsidR="00AC75C7" w:rsidRPr="00AC75C7" w:rsidRDefault="00AC75C7" w:rsidP="00AC75C7">
      <w:pPr>
        <w:rPr>
          <w:u w:val="single"/>
        </w:rPr>
      </w:pPr>
      <w:r w:rsidRPr="00AC75C7">
        <w:rPr>
          <w:u w:val="single"/>
        </w:rPr>
        <w:t xml:space="preserve">Part II. </w:t>
      </w:r>
      <w:r w:rsidR="007D5B11">
        <w:rPr>
          <w:u w:val="single"/>
        </w:rPr>
        <w:t>Discussion</w:t>
      </w:r>
    </w:p>
    <w:p w:rsidR="00EA6A36" w:rsidRDefault="007D5B11" w:rsidP="00EA6A36">
      <w:pPr>
        <w:pStyle w:val="ListParagraph"/>
        <w:numPr>
          <w:ilvl w:val="0"/>
          <w:numId w:val="3"/>
        </w:numPr>
      </w:pPr>
      <w:r>
        <w:t>Ask for group to volunteer to explain one of the women they learned about. Have them give an overview of their story and then ask the questions on the Girl Power! How Young Women Impacted the Holocaust double-sided worksheets</w:t>
      </w:r>
    </w:p>
    <w:p w:rsidR="004A51D3" w:rsidRDefault="004A51D3" w:rsidP="004A51D3"/>
    <w:p w:rsidR="004E7AA8" w:rsidRDefault="004C5314" w:rsidP="004E7AA8">
      <w:pPr>
        <w:pStyle w:val="ListParagraph"/>
        <w:numPr>
          <w:ilvl w:val="0"/>
          <w:numId w:val="4"/>
        </w:numPr>
      </w:pPr>
      <w:r>
        <w:t>Debrief and ask rhetorically how they can apply that to life at their school. Allow for answers and discussion.</w:t>
      </w:r>
    </w:p>
    <w:p w:rsidR="00975FA2" w:rsidRDefault="00975FA2" w:rsidP="004E7AA8">
      <w:pPr>
        <w:pStyle w:val="ListParagraph"/>
        <w:numPr>
          <w:ilvl w:val="0"/>
          <w:numId w:val="4"/>
        </w:numPr>
      </w:pPr>
      <w:r>
        <w:t>Ask what was their motivation</w:t>
      </w:r>
    </w:p>
    <w:p w:rsidR="00D05C96" w:rsidRDefault="00D05C96" w:rsidP="00D05C96">
      <w:pPr>
        <w:jc w:val="center"/>
        <w:rPr>
          <w:u w:val="single"/>
        </w:rPr>
      </w:pPr>
      <w:r>
        <w:rPr>
          <w:u w:val="single"/>
        </w:rPr>
        <w:t>Timeline</w:t>
      </w:r>
    </w:p>
    <w:p w:rsidR="00D05C96" w:rsidRDefault="0013196E" w:rsidP="0013196E">
      <w:pPr>
        <w:jc w:val="center"/>
      </w:pPr>
      <w:r>
        <w:t>1</w:t>
      </w:r>
      <w:r w:rsidR="001C2512">
        <w:t xml:space="preserve"> classroom period</w:t>
      </w:r>
    </w:p>
    <w:p w:rsidR="00710A7E" w:rsidRPr="00D05C96" w:rsidRDefault="00710A7E" w:rsidP="0013196E">
      <w:pPr>
        <w:jc w:val="center"/>
      </w:pPr>
    </w:p>
    <w:p w:rsidR="00ED0DE3" w:rsidRDefault="00ED0DE3" w:rsidP="000A1B4C">
      <w:pPr>
        <w:jc w:val="center"/>
        <w:rPr>
          <w:u w:val="single"/>
        </w:rPr>
      </w:pPr>
      <w:r w:rsidRPr="00C31036">
        <w:rPr>
          <w:u w:val="single"/>
        </w:rPr>
        <w:t>Lesson handout masters:</w:t>
      </w:r>
    </w:p>
    <w:p w:rsidR="00E9374C" w:rsidRDefault="004C5314" w:rsidP="000A1B4C">
      <w:pPr>
        <w:jc w:val="center"/>
      </w:pPr>
      <w:r w:rsidRPr="004C5314">
        <w:t xml:space="preserve">Girl Power! How Young Women Impacted the Holocaust </w:t>
      </w:r>
      <w:r>
        <w:t xml:space="preserve">blank </w:t>
      </w:r>
      <w:r w:rsidR="00975FA2">
        <w:t>double-sided worksheets</w:t>
      </w:r>
    </w:p>
    <w:p w:rsidR="00975FA2" w:rsidRPr="004C5314" w:rsidRDefault="00975FA2" w:rsidP="004D3A09">
      <w:pPr>
        <w:jc w:val="center"/>
      </w:pPr>
      <w:r w:rsidRPr="004C5314">
        <w:t xml:space="preserve">Girl Power! How Young Women Impacted the Holocaust </w:t>
      </w:r>
      <w:r>
        <w:t>answered double-sided worksheets</w:t>
      </w:r>
    </w:p>
    <w:sectPr w:rsidR="00975FA2" w:rsidRPr="004C5314" w:rsidSect="00DD48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2A" w:rsidRDefault="0011312A" w:rsidP="00DD4810">
      <w:pPr>
        <w:spacing w:after="0" w:line="240" w:lineRule="auto"/>
      </w:pPr>
      <w:r>
        <w:separator/>
      </w:r>
    </w:p>
  </w:endnote>
  <w:endnote w:type="continuationSeparator" w:id="0">
    <w:p w:rsidR="0011312A" w:rsidRDefault="0011312A" w:rsidP="00DD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2A" w:rsidRDefault="00113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2A" w:rsidRDefault="00113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2A" w:rsidRDefault="00113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2A" w:rsidRDefault="0011312A" w:rsidP="00DD4810">
      <w:pPr>
        <w:spacing w:after="0" w:line="240" w:lineRule="auto"/>
      </w:pPr>
      <w:r>
        <w:separator/>
      </w:r>
    </w:p>
  </w:footnote>
  <w:footnote w:type="continuationSeparator" w:id="0">
    <w:p w:rsidR="0011312A" w:rsidRDefault="0011312A" w:rsidP="00DD4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2A" w:rsidRDefault="00113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4245"/>
      <w:docPartObj>
        <w:docPartGallery w:val="Watermarks"/>
        <w:docPartUnique/>
      </w:docPartObj>
    </w:sdtPr>
    <w:sdtContent>
      <w:p w:rsidR="0011312A" w:rsidRDefault="00AE36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2A" w:rsidRDefault="00AE3674">
    <w:pPr>
      <w:pStyle w:val="Header"/>
      <w:jc w:val="right"/>
    </w:pPr>
    <w:sdt>
      <w:sdtPr>
        <w:id w:val="11696384"/>
        <w:docPartObj>
          <w:docPartGallery w:val="Page Numbers (Top of Page)"/>
          <w:docPartUnique/>
        </w:docPartObj>
      </w:sdtPr>
      <w:sdtContent/>
    </w:sdt>
  </w:p>
  <w:p w:rsidR="0011312A" w:rsidRDefault="00113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DC5"/>
    <w:multiLevelType w:val="hybridMultilevel"/>
    <w:tmpl w:val="AA9E0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3FC"/>
    <w:multiLevelType w:val="hybridMultilevel"/>
    <w:tmpl w:val="B9FA1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474C"/>
    <w:multiLevelType w:val="hybridMultilevel"/>
    <w:tmpl w:val="60B6906E"/>
    <w:lvl w:ilvl="0" w:tplc="9B7C9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06264"/>
    <w:multiLevelType w:val="hybridMultilevel"/>
    <w:tmpl w:val="32988078"/>
    <w:lvl w:ilvl="0" w:tplc="AD482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F1640"/>
    <w:multiLevelType w:val="hybridMultilevel"/>
    <w:tmpl w:val="9334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B1317"/>
    <w:multiLevelType w:val="multilevel"/>
    <w:tmpl w:val="00F07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51A50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6E11B21"/>
    <w:multiLevelType w:val="hybridMultilevel"/>
    <w:tmpl w:val="5948B07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BDB101E"/>
    <w:multiLevelType w:val="hybridMultilevel"/>
    <w:tmpl w:val="0D48BDC8"/>
    <w:lvl w:ilvl="0" w:tplc="B02C1F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05530"/>
    <w:multiLevelType w:val="hybridMultilevel"/>
    <w:tmpl w:val="BA3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9"/>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7UwPelD6khPqNDOTsM8MIwxTlqE=" w:salt="2Ih0iuud13Uq4p03ZYtX3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50065"/>
    <w:rsid w:val="0000236E"/>
    <w:rsid w:val="00006E2B"/>
    <w:rsid w:val="00026E43"/>
    <w:rsid w:val="00035FD0"/>
    <w:rsid w:val="00036554"/>
    <w:rsid w:val="00050172"/>
    <w:rsid w:val="00052BA8"/>
    <w:rsid w:val="000A1B4C"/>
    <w:rsid w:val="000B64B2"/>
    <w:rsid w:val="000E1F2C"/>
    <w:rsid w:val="0011312A"/>
    <w:rsid w:val="0011576E"/>
    <w:rsid w:val="0013196E"/>
    <w:rsid w:val="001468E1"/>
    <w:rsid w:val="00147BB9"/>
    <w:rsid w:val="00151E43"/>
    <w:rsid w:val="001542EE"/>
    <w:rsid w:val="00156DAC"/>
    <w:rsid w:val="00182DFD"/>
    <w:rsid w:val="001C0336"/>
    <w:rsid w:val="001C2512"/>
    <w:rsid w:val="001D5F54"/>
    <w:rsid w:val="001F599F"/>
    <w:rsid w:val="00201483"/>
    <w:rsid w:val="00222E1F"/>
    <w:rsid w:val="00245316"/>
    <w:rsid w:val="00257AC1"/>
    <w:rsid w:val="00260B5F"/>
    <w:rsid w:val="002D51B1"/>
    <w:rsid w:val="002E00EA"/>
    <w:rsid w:val="002F12EF"/>
    <w:rsid w:val="00300D36"/>
    <w:rsid w:val="0032013E"/>
    <w:rsid w:val="00323033"/>
    <w:rsid w:val="00337671"/>
    <w:rsid w:val="0036479E"/>
    <w:rsid w:val="00366FE4"/>
    <w:rsid w:val="00385778"/>
    <w:rsid w:val="00385D18"/>
    <w:rsid w:val="003A0DCC"/>
    <w:rsid w:val="003C5AFB"/>
    <w:rsid w:val="003F51F5"/>
    <w:rsid w:val="0042293A"/>
    <w:rsid w:val="00435E8F"/>
    <w:rsid w:val="00446F18"/>
    <w:rsid w:val="00461672"/>
    <w:rsid w:val="00494301"/>
    <w:rsid w:val="004A51D3"/>
    <w:rsid w:val="004C5314"/>
    <w:rsid w:val="004D3A09"/>
    <w:rsid w:val="004E7AA8"/>
    <w:rsid w:val="0050156D"/>
    <w:rsid w:val="005306CE"/>
    <w:rsid w:val="00561851"/>
    <w:rsid w:val="00562B6F"/>
    <w:rsid w:val="005640FE"/>
    <w:rsid w:val="00584044"/>
    <w:rsid w:val="005E7613"/>
    <w:rsid w:val="00616612"/>
    <w:rsid w:val="00634F88"/>
    <w:rsid w:val="006423EF"/>
    <w:rsid w:val="00643E69"/>
    <w:rsid w:val="0064637A"/>
    <w:rsid w:val="006664A8"/>
    <w:rsid w:val="0067348C"/>
    <w:rsid w:val="0069363C"/>
    <w:rsid w:val="006B70FD"/>
    <w:rsid w:val="00710A7E"/>
    <w:rsid w:val="0073410A"/>
    <w:rsid w:val="0074228D"/>
    <w:rsid w:val="00742413"/>
    <w:rsid w:val="00742746"/>
    <w:rsid w:val="00750641"/>
    <w:rsid w:val="00765BCE"/>
    <w:rsid w:val="0079240E"/>
    <w:rsid w:val="007B7778"/>
    <w:rsid w:val="007D5B11"/>
    <w:rsid w:val="00843903"/>
    <w:rsid w:val="00846296"/>
    <w:rsid w:val="00875F75"/>
    <w:rsid w:val="0088271E"/>
    <w:rsid w:val="00882976"/>
    <w:rsid w:val="00890165"/>
    <w:rsid w:val="00890CB3"/>
    <w:rsid w:val="00893369"/>
    <w:rsid w:val="008B5637"/>
    <w:rsid w:val="008D5C50"/>
    <w:rsid w:val="008F4354"/>
    <w:rsid w:val="008F43D4"/>
    <w:rsid w:val="009007FA"/>
    <w:rsid w:val="00904ADC"/>
    <w:rsid w:val="0093044C"/>
    <w:rsid w:val="00943C8B"/>
    <w:rsid w:val="00950065"/>
    <w:rsid w:val="00975FA2"/>
    <w:rsid w:val="00986FD4"/>
    <w:rsid w:val="009A42F2"/>
    <w:rsid w:val="009D40DD"/>
    <w:rsid w:val="009D7BB0"/>
    <w:rsid w:val="009E6CE9"/>
    <w:rsid w:val="00A0774F"/>
    <w:rsid w:val="00A33D37"/>
    <w:rsid w:val="00A6652C"/>
    <w:rsid w:val="00A67063"/>
    <w:rsid w:val="00A75525"/>
    <w:rsid w:val="00A841EC"/>
    <w:rsid w:val="00A93560"/>
    <w:rsid w:val="00A95DC4"/>
    <w:rsid w:val="00A9776B"/>
    <w:rsid w:val="00AA31C8"/>
    <w:rsid w:val="00AC75C7"/>
    <w:rsid w:val="00AD44BB"/>
    <w:rsid w:val="00AE0372"/>
    <w:rsid w:val="00AE3674"/>
    <w:rsid w:val="00AE60A1"/>
    <w:rsid w:val="00AF5B20"/>
    <w:rsid w:val="00AF688F"/>
    <w:rsid w:val="00B02E0C"/>
    <w:rsid w:val="00B10C40"/>
    <w:rsid w:val="00B20713"/>
    <w:rsid w:val="00B41033"/>
    <w:rsid w:val="00B547BD"/>
    <w:rsid w:val="00B7317E"/>
    <w:rsid w:val="00BC4003"/>
    <w:rsid w:val="00BC4307"/>
    <w:rsid w:val="00BC6339"/>
    <w:rsid w:val="00BE773E"/>
    <w:rsid w:val="00C20882"/>
    <w:rsid w:val="00C30C00"/>
    <w:rsid w:val="00C31036"/>
    <w:rsid w:val="00C36D92"/>
    <w:rsid w:val="00C46E3B"/>
    <w:rsid w:val="00C55489"/>
    <w:rsid w:val="00C8052B"/>
    <w:rsid w:val="00CC0F67"/>
    <w:rsid w:val="00CE722D"/>
    <w:rsid w:val="00D05C96"/>
    <w:rsid w:val="00D16D27"/>
    <w:rsid w:val="00D271C0"/>
    <w:rsid w:val="00D31C4F"/>
    <w:rsid w:val="00D44C19"/>
    <w:rsid w:val="00D95F51"/>
    <w:rsid w:val="00DD4810"/>
    <w:rsid w:val="00E344A0"/>
    <w:rsid w:val="00E56F09"/>
    <w:rsid w:val="00E63D25"/>
    <w:rsid w:val="00E90460"/>
    <w:rsid w:val="00E9374C"/>
    <w:rsid w:val="00EA6A36"/>
    <w:rsid w:val="00EB05FB"/>
    <w:rsid w:val="00EB57BD"/>
    <w:rsid w:val="00EB6388"/>
    <w:rsid w:val="00EC5EEE"/>
    <w:rsid w:val="00ED0DE3"/>
    <w:rsid w:val="00F16506"/>
    <w:rsid w:val="00F42388"/>
    <w:rsid w:val="00F775BD"/>
    <w:rsid w:val="00FA41AC"/>
    <w:rsid w:val="00FB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4"/>
    <w:pPr>
      <w:ind w:left="720"/>
      <w:contextualSpacing/>
    </w:pPr>
  </w:style>
  <w:style w:type="character" w:styleId="Hyperlink">
    <w:name w:val="Hyperlink"/>
    <w:basedOn w:val="DefaultParagraphFont"/>
    <w:uiPriority w:val="99"/>
    <w:unhideWhenUsed/>
    <w:rsid w:val="008B5637"/>
    <w:rPr>
      <w:color w:val="0000FF" w:themeColor="hyperlink"/>
      <w:u w:val="single"/>
    </w:rPr>
  </w:style>
  <w:style w:type="paragraph" w:styleId="NoSpacing">
    <w:name w:val="No Spacing"/>
    <w:link w:val="NoSpacingChar"/>
    <w:uiPriority w:val="1"/>
    <w:qFormat/>
    <w:rsid w:val="00DD4810"/>
    <w:pPr>
      <w:spacing w:after="0" w:line="240" w:lineRule="auto"/>
    </w:pPr>
    <w:rPr>
      <w:rFonts w:eastAsiaTheme="minorEastAsia"/>
    </w:rPr>
  </w:style>
  <w:style w:type="character" w:customStyle="1" w:styleId="NoSpacingChar">
    <w:name w:val="No Spacing Char"/>
    <w:basedOn w:val="DefaultParagraphFont"/>
    <w:link w:val="NoSpacing"/>
    <w:uiPriority w:val="1"/>
    <w:rsid w:val="00DD4810"/>
    <w:rPr>
      <w:rFonts w:eastAsiaTheme="minorEastAsia"/>
    </w:rPr>
  </w:style>
  <w:style w:type="paragraph" w:styleId="BalloonText">
    <w:name w:val="Balloon Text"/>
    <w:basedOn w:val="Normal"/>
    <w:link w:val="BalloonTextChar"/>
    <w:uiPriority w:val="99"/>
    <w:semiHidden/>
    <w:unhideWhenUsed/>
    <w:rsid w:val="00DD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10"/>
    <w:rPr>
      <w:rFonts w:ascii="Tahoma" w:hAnsi="Tahoma" w:cs="Tahoma"/>
      <w:sz w:val="16"/>
      <w:szCs w:val="16"/>
    </w:rPr>
  </w:style>
  <w:style w:type="paragraph" w:styleId="Header">
    <w:name w:val="header"/>
    <w:basedOn w:val="Normal"/>
    <w:link w:val="HeaderChar"/>
    <w:uiPriority w:val="99"/>
    <w:unhideWhenUsed/>
    <w:rsid w:val="00DD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10"/>
  </w:style>
  <w:style w:type="paragraph" w:styleId="Footer">
    <w:name w:val="footer"/>
    <w:basedOn w:val="Normal"/>
    <w:link w:val="FooterChar"/>
    <w:uiPriority w:val="99"/>
    <w:semiHidden/>
    <w:unhideWhenUsed/>
    <w:rsid w:val="00DD48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488</Words>
  <Characters>2786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Conspiracy of Goodness</vt:lpstr>
    </vt:vector>
  </TitlesOfParts>
  <Company>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of Goodness</dc:title>
  <dc:creator>Sam Parish</dc:creator>
  <cp:lastModifiedBy>Sam Parish</cp:lastModifiedBy>
  <cp:revision>11</cp:revision>
  <dcterms:created xsi:type="dcterms:W3CDTF">2013-07-11T15:54:00Z</dcterms:created>
  <dcterms:modified xsi:type="dcterms:W3CDTF">2013-08-13T15:41:00Z</dcterms:modified>
</cp:coreProperties>
</file>